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E4F1" w14:textId="2D8BE29A" w:rsidR="00AA543B" w:rsidRDefault="00D72734">
      <w:r>
        <w:fldChar w:fldCharType="begin"/>
      </w:r>
      <w:r>
        <w:instrText xml:space="preserve"> INCLUDEPICTURE "/Users/Steuart/Library/Group Containers/UBF8T346G9.ms/WebArchiveCopyPasteTempFiles/com.microsoft.Word/9k=" \* MERGEFORMATINET </w:instrText>
      </w:r>
      <w:r>
        <w:fldChar w:fldCharType="separate"/>
      </w:r>
      <w:r>
        <w:rPr>
          <w:noProof/>
        </w:rPr>
        <w:drawing>
          <wp:inline distT="0" distB="0" distL="0" distR="0" wp14:anchorId="4326E76B" wp14:editId="5306237A">
            <wp:extent cx="3945890" cy="2054225"/>
            <wp:effectExtent l="0" t="0" r="3810" b="3175"/>
            <wp:docPr id="1549952510" name="Picture 1" descr="ADvTECH Group | Tertiary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5" descr="ADvTECH Group | Tertiary Divi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5890" cy="2054225"/>
                    </a:xfrm>
                    <a:prstGeom prst="rect">
                      <a:avLst/>
                    </a:prstGeom>
                    <a:noFill/>
                    <a:ln>
                      <a:noFill/>
                    </a:ln>
                  </pic:spPr>
                </pic:pic>
              </a:graphicData>
            </a:graphic>
          </wp:inline>
        </w:drawing>
      </w:r>
      <w:r>
        <w:fldChar w:fldCharType="end"/>
      </w:r>
    </w:p>
    <w:p w14:paraId="51F1C420" w14:textId="42FDF364" w:rsidR="00D72734" w:rsidRDefault="00D72734">
      <w:pPr>
        <w:rPr>
          <w:rFonts w:ascii="Calibri" w:eastAsia="Times New Roman" w:hAnsi="Calibri" w:cs="Calibri"/>
          <w:color w:val="000000"/>
          <w:kern w:val="0"/>
          <w:sz w:val="22"/>
          <w:szCs w:val="22"/>
          <w:lang w:val="en-ZA" w:eastAsia="en-GB"/>
          <w14:ligatures w14:val="none"/>
        </w:rPr>
      </w:pPr>
      <w:r w:rsidRPr="00D72734">
        <w:rPr>
          <w:rFonts w:ascii="Calibri" w:eastAsia="Times New Roman" w:hAnsi="Calibri" w:cs="Calibri"/>
          <w:color w:val="000000"/>
          <w:kern w:val="0"/>
          <w:sz w:val="22"/>
          <w:szCs w:val="22"/>
          <w:lang w:val="en-ZA" w:eastAsia="en-GB"/>
          <w14:ligatures w14:val="none"/>
        </w:rPr>
        <w:fldChar w:fldCharType="begin"/>
      </w:r>
      <w:r w:rsidRPr="00D72734">
        <w:rPr>
          <w:rFonts w:ascii="Calibri" w:eastAsia="Times New Roman" w:hAnsi="Calibri" w:cs="Calibri"/>
          <w:color w:val="000000"/>
          <w:kern w:val="0"/>
          <w:sz w:val="22"/>
          <w:szCs w:val="22"/>
          <w:lang w:val="en-ZA" w:eastAsia="en-GB"/>
          <w14:ligatures w14:val="none"/>
        </w:rPr>
        <w:instrText xml:space="preserve"> INCLUDEPICTURE "/Users/Steuart/Library/Group Containers/UBF8T346G9.ms/WebArchiveCopyPasteTempFiles/com.microsoft.Word/cid655838*image001.jpg@01DAA78D.78C9CF50" \* MERGEFORMATINET </w:instrText>
      </w:r>
      <w:r w:rsidRPr="00D72734">
        <w:rPr>
          <w:rFonts w:ascii="Calibri" w:eastAsia="Times New Roman" w:hAnsi="Calibri" w:cs="Calibri"/>
          <w:color w:val="000000"/>
          <w:kern w:val="0"/>
          <w:sz w:val="22"/>
          <w:szCs w:val="22"/>
          <w:lang w:val="en-ZA" w:eastAsia="en-GB"/>
          <w14:ligatures w14:val="none"/>
        </w:rPr>
        <w:fldChar w:fldCharType="separate"/>
      </w:r>
      <w:r w:rsidRPr="00D72734">
        <w:rPr>
          <w:rFonts w:ascii="Calibri" w:eastAsia="Times New Roman" w:hAnsi="Calibri" w:cs="Calibri"/>
          <w:noProof/>
          <w:color w:val="000000"/>
          <w:kern w:val="0"/>
          <w:sz w:val="22"/>
          <w:szCs w:val="22"/>
          <w:lang w:val="en-ZA" w:eastAsia="en-GB"/>
          <w14:ligatures w14:val="none"/>
        </w:rPr>
        <w:drawing>
          <wp:inline distT="0" distB="0" distL="0" distR="0" wp14:anchorId="236F0F28" wp14:editId="76A54479">
            <wp:extent cx="2968625" cy="3770630"/>
            <wp:effectExtent l="0" t="0" r="3175" b="1270"/>
            <wp:docPr id="1827199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625" cy="3770630"/>
                    </a:xfrm>
                    <a:prstGeom prst="rect">
                      <a:avLst/>
                    </a:prstGeom>
                    <a:noFill/>
                    <a:ln>
                      <a:noFill/>
                    </a:ln>
                  </pic:spPr>
                </pic:pic>
              </a:graphicData>
            </a:graphic>
          </wp:inline>
        </w:drawing>
      </w:r>
      <w:r w:rsidRPr="00D72734">
        <w:rPr>
          <w:rFonts w:ascii="Calibri" w:eastAsia="Times New Roman" w:hAnsi="Calibri" w:cs="Calibri"/>
          <w:color w:val="000000"/>
          <w:kern w:val="0"/>
          <w:sz w:val="22"/>
          <w:szCs w:val="22"/>
          <w:lang w:val="en-ZA" w:eastAsia="en-GB"/>
          <w14:ligatures w14:val="none"/>
        </w:rPr>
        <w:fldChar w:fldCharType="end"/>
      </w:r>
    </w:p>
    <w:p w14:paraId="7C6CA11D"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b/>
          <w:bCs/>
          <w:i/>
          <w:iCs/>
          <w:color w:val="000000"/>
          <w:kern w:val="0"/>
          <w:sz w:val="20"/>
          <w:szCs w:val="20"/>
          <w:lang w:val="en-ZA" w:eastAsia="en-GB"/>
          <w14:ligatures w14:val="none"/>
        </w:rPr>
        <w:t>Shevon Lurie</w:t>
      </w:r>
    </w:p>
    <w:p w14:paraId="6E6DBF7B"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b/>
          <w:bCs/>
          <w:i/>
          <w:iCs/>
          <w:color w:val="000000"/>
          <w:kern w:val="0"/>
          <w:sz w:val="20"/>
          <w:szCs w:val="20"/>
          <w:lang w:val="en-ZA" w:eastAsia="en-GB"/>
          <w14:ligatures w14:val="none"/>
        </w:rPr>
        <w:t>Director of The Independent Institute of Education</w:t>
      </w:r>
    </w:p>
    <w:p w14:paraId="033AB585" w14:textId="77777777" w:rsidR="00D72734" w:rsidRDefault="00D72734"/>
    <w:p w14:paraId="02D0D90A"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bookmarkStart w:id="0" w:name="_Hlk163304075"/>
      <w:r w:rsidRPr="00D72734">
        <w:rPr>
          <w:rFonts w:ascii="Century Gothic" w:eastAsia="Times New Roman" w:hAnsi="Century Gothic" w:cs="Times New Roman"/>
          <w:b/>
          <w:bCs/>
          <w:color w:val="000000"/>
          <w:spacing w:val="5"/>
          <w:kern w:val="0"/>
          <w:sz w:val="22"/>
          <w:szCs w:val="22"/>
          <w:shd w:val="clear" w:color="auto" w:fill="FFFFFF"/>
          <w:lang w:val="en-ZA" w:eastAsia="en-GB"/>
          <w14:ligatures w14:val="none"/>
        </w:rPr>
        <w:t>SA PRIVATE HIGHER ED INSTITUTION INDUCTED INTO PRESTIGIOUS GOLDEN KEY SOCIETY</w:t>
      </w:r>
      <w:bookmarkEnd w:id="0"/>
    </w:p>
    <w:p w14:paraId="21231467"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i/>
          <w:iCs/>
          <w:color w:val="000000"/>
          <w:spacing w:val="5"/>
          <w:kern w:val="0"/>
          <w:sz w:val="22"/>
          <w:szCs w:val="22"/>
          <w:shd w:val="clear" w:color="auto" w:fill="FFFFFF"/>
          <w:lang w:val="en-ZA" w:eastAsia="en-GB"/>
          <w14:ligatures w14:val="none"/>
        </w:rPr>
        <w:t>TOP 15% OF STUDENTS TO ENJOY INTERNATIONAL RECOGNITION &amp; OPPORTUNITY</w:t>
      </w:r>
    </w:p>
    <w:p w14:paraId="2DB5B13E" w14:textId="7BD4CF85"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i/>
          <w:iCs/>
          <w:color w:val="000000"/>
          <w:spacing w:val="5"/>
          <w:kern w:val="0"/>
          <w:sz w:val="22"/>
          <w:szCs w:val="22"/>
          <w:shd w:val="clear" w:color="auto" w:fill="FFFFFF"/>
          <w:lang w:val="en-ZA" w:eastAsia="en-GB"/>
          <w14:ligatures w14:val="none"/>
        </w:rPr>
        <w:t> </w:t>
      </w:r>
      <w:r w:rsidRPr="00D72734">
        <w:rPr>
          <w:rFonts w:ascii="Century Gothic" w:eastAsia="Times New Roman" w:hAnsi="Century Gothic" w:cs="Times New Roman"/>
          <w:color w:val="000000"/>
          <w:spacing w:val="5"/>
          <w:kern w:val="0"/>
          <w:sz w:val="22"/>
          <w:szCs w:val="22"/>
          <w:shd w:val="clear" w:color="auto" w:fill="FFFFFF"/>
          <w:lang w:val="en-ZA" w:eastAsia="en-GB"/>
          <w14:ligatures w14:val="none"/>
        </w:rPr>
        <w:t> </w:t>
      </w:r>
    </w:p>
    <w:p w14:paraId="2E5D5F88"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spacing w:val="5"/>
          <w:kern w:val="0"/>
          <w:sz w:val="22"/>
          <w:szCs w:val="22"/>
          <w:shd w:val="clear" w:color="auto" w:fill="FFFFFF"/>
          <w:lang w:val="en-ZA" w:eastAsia="en-GB"/>
          <w14:ligatures w14:val="none"/>
        </w:rPr>
        <w:t>South Africa’s leading private higher education provider, The Independent Institute of Education (The </w:t>
      </w:r>
      <w:bookmarkStart w:id="1" w:name="_Int_ODwmc2aD"/>
      <w:r w:rsidRPr="00D72734">
        <w:rPr>
          <w:rFonts w:ascii="Century Gothic" w:eastAsia="Times New Roman" w:hAnsi="Century Gothic" w:cs="Times New Roman"/>
          <w:color w:val="000000"/>
          <w:spacing w:val="5"/>
          <w:kern w:val="0"/>
          <w:sz w:val="22"/>
          <w:szCs w:val="22"/>
          <w:shd w:val="clear" w:color="auto" w:fill="FFFFFF"/>
          <w:lang w:val="en-ZA" w:eastAsia="en-GB"/>
          <w14:ligatures w14:val="none"/>
        </w:rPr>
        <w:t>IIE</w:t>
      </w:r>
      <w:bookmarkEnd w:id="1"/>
      <w:r w:rsidRPr="00D72734">
        <w:rPr>
          <w:rFonts w:ascii="Century Gothic" w:eastAsia="Times New Roman" w:hAnsi="Century Gothic" w:cs="Times New Roman"/>
          <w:color w:val="000000"/>
          <w:spacing w:val="5"/>
          <w:kern w:val="0"/>
          <w:sz w:val="22"/>
          <w:szCs w:val="22"/>
          <w:shd w:val="clear" w:color="auto" w:fill="FFFFFF"/>
          <w:lang w:val="en-ZA" w:eastAsia="en-GB"/>
          <w14:ligatures w14:val="none"/>
        </w:rPr>
        <w:t>), has been inducted into the prestigious Golden Key International Honour Society – a recognition usually reserved for public universities.</w:t>
      </w:r>
    </w:p>
    <w:p w14:paraId="4F26AD3C"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spacing w:val="5"/>
          <w:kern w:val="0"/>
          <w:sz w:val="22"/>
          <w:szCs w:val="22"/>
          <w:shd w:val="clear" w:color="auto" w:fill="FFFFFF"/>
          <w:lang w:val="en-ZA" w:eastAsia="en-GB"/>
          <w14:ligatures w14:val="none"/>
        </w:rPr>
        <w:t> </w:t>
      </w:r>
    </w:p>
    <w:p w14:paraId="19D0C5EB" w14:textId="77777777" w:rsidR="00D72734" w:rsidRPr="00D72734" w:rsidRDefault="00D72734" w:rsidP="00D72734">
      <w:pPr>
        <w:jc w:val="both"/>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kern w:val="0"/>
          <w:sz w:val="22"/>
          <w:szCs w:val="22"/>
          <w:lang w:val="en-ZA" w:eastAsia="en-GB"/>
          <w14:ligatures w14:val="none"/>
        </w:rPr>
        <w:t>The Golden Key International Honour Society is the world’s largest collegiate honour society for graduate and undergraduate students and has strong relationships with over 400 universities around the world, including in </w:t>
      </w:r>
      <w:r w:rsidRPr="00D72734">
        <w:rPr>
          <w:rFonts w:ascii="Century Gothic" w:eastAsia="Times New Roman" w:hAnsi="Century Gothic" w:cs="Times New Roman"/>
          <w:color w:val="000000"/>
          <w:kern w:val="0"/>
          <w:sz w:val="22"/>
          <w:szCs w:val="22"/>
          <w:shd w:val="clear" w:color="auto" w:fill="FFFFFF"/>
          <w:lang w:val="en-ZA" w:eastAsia="en-GB"/>
          <w14:ligatures w14:val="none"/>
        </w:rPr>
        <w:t xml:space="preserve">Australia, Canada, India, Malaysia, New Zealand, South Africa, The Bahamas and the United States. Membership into </w:t>
      </w:r>
      <w:r w:rsidRPr="00D72734">
        <w:rPr>
          <w:rFonts w:ascii="Century Gothic" w:eastAsia="Times New Roman" w:hAnsi="Century Gothic" w:cs="Times New Roman"/>
          <w:color w:val="000000"/>
          <w:kern w:val="0"/>
          <w:sz w:val="22"/>
          <w:szCs w:val="22"/>
          <w:shd w:val="clear" w:color="auto" w:fill="FFFFFF"/>
          <w:lang w:val="en-ZA" w:eastAsia="en-GB"/>
          <w14:ligatures w14:val="none"/>
        </w:rPr>
        <w:lastRenderedPageBreak/>
        <w:t>Golden Key is offered to undergraduate and graduate students recognised to be among the top 15% of their class.</w:t>
      </w:r>
    </w:p>
    <w:p w14:paraId="79458A28" w14:textId="77777777" w:rsidR="00D72734" w:rsidRPr="00D72734" w:rsidRDefault="00D72734" w:rsidP="00D72734">
      <w:pPr>
        <w:jc w:val="both"/>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kern w:val="0"/>
          <w:sz w:val="22"/>
          <w:szCs w:val="22"/>
          <w:shd w:val="clear" w:color="auto" w:fill="FFFFFF"/>
          <w:lang w:val="en-ZA" w:eastAsia="en-GB"/>
          <w14:ligatures w14:val="none"/>
        </w:rPr>
        <w:t> </w:t>
      </w:r>
    </w:p>
    <w:p w14:paraId="7BD20CCD" w14:textId="77777777" w:rsidR="00D72734" w:rsidRPr="00D72734" w:rsidRDefault="00D72734" w:rsidP="00D72734">
      <w:pPr>
        <w:jc w:val="both"/>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kern w:val="0"/>
          <w:sz w:val="22"/>
          <w:szCs w:val="22"/>
          <w:shd w:val="clear" w:color="auto" w:fill="FFFFFF"/>
          <w:lang w:val="en-ZA" w:eastAsia="en-GB"/>
          <w14:ligatures w14:val="none"/>
        </w:rPr>
        <w:t>The induction of The IIE as a chapter of the society means that their highest performing students will now be able to access the benefits of Golden Key membership, including bursaries, international professional development opportunities, and its global student networks.</w:t>
      </w:r>
    </w:p>
    <w:p w14:paraId="173E14D2" w14:textId="77777777" w:rsidR="00D72734" w:rsidRPr="00D72734" w:rsidRDefault="00D72734" w:rsidP="00D72734">
      <w:pPr>
        <w:spacing w:line="253" w:lineRule="atLeast"/>
        <w:rPr>
          <w:rFonts w:ascii="Aptos" w:eastAsia="Times New Roman" w:hAnsi="Aptos" w:cs="Times New Roman"/>
          <w:color w:val="000000"/>
          <w:kern w:val="0"/>
          <w:sz w:val="22"/>
          <w:szCs w:val="22"/>
          <w:lang w:val="en-ZA" w:eastAsia="en-GB"/>
          <w14:ligatures w14:val="none"/>
        </w:rPr>
      </w:pPr>
      <w:r w:rsidRPr="00D72734">
        <w:rPr>
          <w:rFonts w:ascii="Calibri Light" w:eastAsia="Times New Roman" w:hAnsi="Calibri Light" w:cs="Calibri Light"/>
          <w:color w:val="000000"/>
          <w:spacing w:val="5"/>
          <w:kern w:val="0"/>
          <w:shd w:val="clear" w:color="auto" w:fill="FFFFFF"/>
          <w:lang w:val="en-ZA" w:eastAsia="en-GB"/>
          <w14:ligatures w14:val="none"/>
        </w:rPr>
        <w:t> </w:t>
      </w:r>
    </w:p>
    <w:p w14:paraId="43B16739"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kern w:val="0"/>
          <w:sz w:val="20"/>
          <w:szCs w:val="20"/>
          <w:u w:val="single"/>
          <w:lang w:val="en-ZA" w:eastAsia="en-GB"/>
          <w14:ligatures w14:val="none"/>
        </w:rPr>
        <w:t>Note to editor:</w:t>
      </w:r>
    </w:p>
    <w:p w14:paraId="07D1D29F"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color w:val="000000"/>
          <w:kern w:val="0"/>
          <w:sz w:val="20"/>
          <w:szCs w:val="20"/>
          <w:lang w:val="en-ZA" w:eastAsia="en-GB"/>
          <w14:ligatures w14:val="none"/>
        </w:rPr>
        <w:t>The Independent Institute of Education (The </w:t>
      </w:r>
      <w:bookmarkStart w:id="2" w:name="_Int_2JsFQdgW"/>
      <w:r w:rsidRPr="00D72734">
        <w:rPr>
          <w:rFonts w:ascii="Century Gothic" w:eastAsia="Times New Roman" w:hAnsi="Century Gothic" w:cs="Times New Roman"/>
          <w:color w:val="000000"/>
          <w:kern w:val="0"/>
          <w:sz w:val="20"/>
          <w:szCs w:val="20"/>
          <w:lang w:val="en-ZA" w:eastAsia="en-GB"/>
          <w14:ligatures w14:val="none"/>
        </w:rPr>
        <w:t>IIE</w:t>
      </w:r>
      <w:bookmarkEnd w:id="2"/>
      <w:r w:rsidRPr="00D72734">
        <w:rPr>
          <w:rFonts w:ascii="Century Gothic" w:eastAsia="Times New Roman" w:hAnsi="Century Gothic" w:cs="Times New Roman"/>
          <w:color w:val="000000"/>
          <w:kern w:val="0"/>
          <w:sz w:val="20"/>
          <w:szCs w:val="20"/>
          <w:lang w:val="en-ZA" w:eastAsia="en-GB"/>
          <w14:ligatures w14:val="none"/>
        </w:rPr>
        <w:t>) is a division of the JSE-listed ADvTECH Group, Africa’s largest private education provider. The IIE is the largest, most accredited registered private higher education institute in South Africa and is accredited by The British Accreditation Council (BAC), the independent quality assurance authority that accredits private institutions in the </w:t>
      </w:r>
      <w:bookmarkStart w:id="3" w:name="_Int_eRWHlm5S"/>
      <w:r w:rsidRPr="00D72734">
        <w:rPr>
          <w:rFonts w:ascii="Century Gothic" w:eastAsia="Times New Roman" w:hAnsi="Century Gothic" w:cs="Times New Roman"/>
          <w:color w:val="000000"/>
          <w:kern w:val="0"/>
          <w:sz w:val="20"/>
          <w:szCs w:val="20"/>
          <w:lang w:val="en-ZA" w:eastAsia="en-GB"/>
          <w14:ligatures w14:val="none"/>
        </w:rPr>
        <w:t>United Kingdom (UK)</w:t>
      </w:r>
      <w:bookmarkEnd w:id="3"/>
      <w:r w:rsidRPr="00D72734">
        <w:rPr>
          <w:rFonts w:ascii="Century Gothic" w:eastAsia="Times New Roman" w:hAnsi="Century Gothic" w:cs="Times New Roman"/>
          <w:color w:val="000000"/>
          <w:kern w:val="0"/>
          <w:sz w:val="20"/>
          <w:szCs w:val="20"/>
          <w:lang w:val="en-ZA" w:eastAsia="en-GB"/>
          <w14:ligatures w14:val="none"/>
        </w:rPr>
        <w:t>. </w:t>
      </w:r>
    </w:p>
    <w:p w14:paraId="1789DA3B" w14:textId="77777777" w:rsidR="00D72734" w:rsidRPr="00D72734" w:rsidRDefault="00D72734" w:rsidP="00D72734">
      <w:pPr>
        <w:spacing w:line="253" w:lineRule="atLeast"/>
        <w:rPr>
          <w:rFonts w:ascii="Aptos" w:eastAsia="Times New Roman" w:hAnsi="Aptos" w:cs="Times New Roman"/>
          <w:color w:val="000000"/>
          <w:kern w:val="0"/>
          <w:sz w:val="22"/>
          <w:szCs w:val="22"/>
          <w:lang w:val="en-ZA" w:eastAsia="en-GB"/>
          <w14:ligatures w14:val="none"/>
        </w:rPr>
      </w:pPr>
      <w:r w:rsidRPr="00D72734">
        <w:rPr>
          <w:rFonts w:ascii="Calibri Light" w:eastAsia="Times New Roman" w:hAnsi="Calibri Light" w:cs="Calibri Light"/>
          <w:color w:val="000000"/>
          <w:spacing w:val="5"/>
          <w:kern w:val="0"/>
          <w:shd w:val="clear" w:color="auto" w:fill="FFFFFF"/>
          <w:lang w:val="en-ZA" w:eastAsia="en-GB"/>
          <w14:ligatures w14:val="none"/>
        </w:rPr>
        <w:t> </w:t>
      </w:r>
    </w:p>
    <w:p w14:paraId="1E85D351" w14:textId="3011F5A5" w:rsidR="00D72734" w:rsidRPr="00D72734" w:rsidRDefault="00D72734" w:rsidP="00D72734">
      <w:pPr>
        <w:rPr>
          <w:rFonts w:ascii="Aptos" w:eastAsia="Times New Roman" w:hAnsi="Aptos" w:cs="Times New Roman"/>
          <w:color w:val="000000"/>
          <w:kern w:val="0"/>
          <w:sz w:val="22"/>
          <w:szCs w:val="22"/>
          <w:lang w:val="en-ZA" w:eastAsia="en-GB"/>
          <w14:ligatures w14:val="none"/>
        </w:rPr>
      </w:pPr>
    </w:p>
    <w:p w14:paraId="648CA0C7" w14:textId="77777777" w:rsidR="00D72734" w:rsidRPr="00D72734" w:rsidRDefault="00D72734" w:rsidP="00D72734">
      <w:pPr>
        <w:rPr>
          <w:rFonts w:ascii="Aptos" w:eastAsia="Times New Roman" w:hAnsi="Aptos" w:cs="Times New Roman"/>
          <w:color w:val="000000"/>
          <w:kern w:val="0"/>
          <w:sz w:val="22"/>
          <w:szCs w:val="22"/>
          <w:lang w:val="en-ZA" w:eastAsia="en-GB"/>
          <w14:ligatures w14:val="none"/>
        </w:rPr>
      </w:pPr>
      <w:r w:rsidRPr="00D72734">
        <w:rPr>
          <w:rFonts w:ascii="Century Gothic" w:eastAsia="Times New Roman" w:hAnsi="Century Gothic" w:cs="Times New Roman"/>
          <w:b/>
          <w:bCs/>
          <w:i/>
          <w:iCs/>
          <w:color w:val="000000"/>
          <w:kern w:val="0"/>
          <w:sz w:val="20"/>
          <w:szCs w:val="20"/>
          <w:lang w:val="en-ZA" w:eastAsia="en-GB"/>
          <w14:ligatures w14:val="none"/>
        </w:rPr>
        <w:t> </w:t>
      </w:r>
    </w:p>
    <w:p w14:paraId="71347149" w14:textId="77777777" w:rsidR="00D72734" w:rsidRDefault="00D72734"/>
    <w:sectPr w:rsidR="00D72734" w:rsidSect="00B14D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34"/>
    <w:rsid w:val="00035079"/>
    <w:rsid w:val="00073CE3"/>
    <w:rsid w:val="001D03DE"/>
    <w:rsid w:val="00253858"/>
    <w:rsid w:val="00425F8E"/>
    <w:rsid w:val="00876E01"/>
    <w:rsid w:val="00AA543B"/>
    <w:rsid w:val="00AC139F"/>
    <w:rsid w:val="00AC4178"/>
    <w:rsid w:val="00B14DD7"/>
    <w:rsid w:val="00C00360"/>
    <w:rsid w:val="00C34338"/>
    <w:rsid w:val="00D72734"/>
    <w:rsid w:val="00E141B5"/>
    <w:rsid w:val="00F3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D5E3"/>
  <w14:defaultImageDpi w14:val="32767"/>
  <w15:chartTrackingRefBased/>
  <w15:docId w15:val="{5BABEDB4-23B0-B04B-B1EB-6464C871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7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27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27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27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27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273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273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273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273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7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27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7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27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27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27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7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7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734"/>
    <w:rPr>
      <w:rFonts w:eastAsiaTheme="majorEastAsia" w:cstheme="majorBidi"/>
      <w:color w:val="272727" w:themeColor="text1" w:themeTint="D8"/>
    </w:rPr>
  </w:style>
  <w:style w:type="paragraph" w:styleId="Title">
    <w:name w:val="Title"/>
    <w:basedOn w:val="Normal"/>
    <w:next w:val="Normal"/>
    <w:link w:val="TitleChar"/>
    <w:uiPriority w:val="10"/>
    <w:qFormat/>
    <w:rsid w:val="00D727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7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73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27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7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2734"/>
    <w:rPr>
      <w:i/>
      <w:iCs/>
      <w:color w:val="404040" w:themeColor="text1" w:themeTint="BF"/>
    </w:rPr>
  </w:style>
  <w:style w:type="paragraph" w:styleId="ListParagraph">
    <w:name w:val="List Paragraph"/>
    <w:basedOn w:val="Normal"/>
    <w:uiPriority w:val="34"/>
    <w:qFormat/>
    <w:rsid w:val="00D72734"/>
    <w:pPr>
      <w:ind w:left="720"/>
      <w:contextualSpacing/>
    </w:pPr>
  </w:style>
  <w:style w:type="character" w:styleId="IntenseEmphasis">
    <w:name w:val="Intense Emphasis"/>
    <w:basedOn w:val="DefaultParagraphFont"/>
    <w:uiPriority w:val="21"/>
    <w:qFormat/>
    <w:rsid w:val="00D72734"/>
    <w:rPr>
      <w:i/>
      <w:iCs/>
      <w:color w:val="0F4761" w:themeColor="accent1" w:themeShade="BF"/>
    </w:rPr>
  </w:style>
  <w:style w:type="paragraph" w:styleId="IntenseQuote">
    <w:name w:val="Intense Quote"/>
    <w:basedOn w:val="Normal"/>
    <w:next w:val="Normal"/>
    <w:link w:val="IntenseQuoteChar"/>
    <w:uiPriority w:val="30"/>
    <w:qFormat/>
    <w:rsid w:val="00D727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2734"/>
    <w:rPr>
      <w:i/>
      <w:iCs/>
      <w:color w:val="0F4761" w:themeColor="accent1" w:themeShade="BF"/>
    </w:rPr>
  </w:style>
  <w:style w:type="character" w:styleId="IntenseReference">
    <w:name w:val="Intense Reference"/>
    <w:basedOn w:val="DefaultParagraphFont"/>
    <w:uiPriority w:val="32"/>
    <w:qFormat/>
    <w:rsid w:val="00D72734"/>
    <w:rPr>
      <w:b/>
      <w:bCs/>
      <w:smallCaps/>
      <w:color w:val="0F4761" w:themeColor="accent1" w:themeShade="BF"/>
      <w:spacing w:val="5"/>
    </w:rPr>
  </w:style>
  <w:style w:type="character" w:customStyle="1" w:styleId="apple-converted-space">
    <w:name w:val="apple-converted-space"/>
    <w:basedOn w:val="DefaultParagraphFont"/>
    <w:rsid w:val="00D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Steuart Pennington</dc:creator>
  <cp:keywords/>
  <dc:description/>
  <cp:lastModifiedBy>Steuart Pennington</cp:lastModifiedBy>
  <cp:revision>1</cp:revision>
  <dcterms:created xsi:type="dcterms:W3CDTF">2024-05-16T11:00:00Z</dcterms:created>
  <dcterms:modified xsi:type="dcterms:W3CDTF">2024-05-16T11:04:00Z</dcterms:modified>
</cp:coreProperties>
</file>